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color w:val="auto"/>
          <w:spacing w:val="0"/>
          <w:position w:val="0"/>
          <w:sz w:val="22"/>
          <w:shd w:fill="auto" w:val="clear"/>
        </w:rPr>
      </w:pPr>
    </w:p>
    <w:p>
      <w:pPr>
        <w:bidi w:val="true"/>
        <w:spacing w:before="0" w:after="160" w:line="259"/>
        <w:ind w:right="0" w:left="0" w:firstLine="0"/>
        <w:jc w:val="center"/>
        <w:rPr>
          <w:rFonts w:ascii="Calibri" w:hAnsi="Calibri" w:cs="Calibri" w:eastAsia="Calibri"/>
          <w:color w:val="auto"/>
          <w:spacing w:val="0"/>
          <w:position w:val="0"/>
          <w:sz w:val="22"/>
          <w:shd w:fill="auto" w:val="clear"/>
        </w:rPr>
      </w:pPr>
    </w:p>
    <w:p>
      <w:pPr>
        <w:bidi w:val="true"/>
        <w:spacing w:before="0" w:after="160" w:line="259"/>
        <w:ind w:right="0" w:left="0" w:hanging="2"/>
        <w:jc w:val="both"/>
        <w:rPr>
          <w:rFonts w:ascii="Sakkal Majalla" w:hAnsi="Sakkal Majalla" w:cs="Sakkal Majalla" w:eastAsia="Sakkal Majalla"/>
          <w:b/>
          <w:color w:val="auto"/>
          <w:spacing w:val="0"/>
          <w:position w:val="0"/>
          <w:sz w:val="28"/>
          <w:shd w:fill="auto" w:val="clear"/>
        </w:rPr>
      </w:pPr>
    </w:p>
    <w:p>
      <w:pPr>
        <w:bidi w:val="true"/>
        <w:spacing w:before="0" w:after="160" w:line="259"/>
        <w:ind w:right="0" w:left="0" w:hanging="2"/>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المادة الأولى</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إطار طلب المشاريع</w:t>
      </w:r>
    </w:p>
    <w:p>
      <w:pPr>
        <w:bidi w:val="true"/>
        <w:spacing w:before="0" w:after="160" w:line="259"/>
        <w:ind w:right="0" w:left="0" w:hanging="2"/>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يندرج إنجاز الورش المتعلق ب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إطار برنامج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أوراش</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في شقه الخاص بالأوراش العامة المؤقتة، والتي تهدف إلى الاستجابة لحاجيات المواطنين من بنيات تحتية، وتتوخى إنجاز أشغال وأنشطة ذات طابع مؤقت تندرج في إطار المنفعة العامة والتنمية المستدامة</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hanging="2"/>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وطبقا لدورية رئيس الحكومة رقم </w:t>
      </w:r>
      <w:r>
        <w:rPr>
          <w:rFonts w:ascii="Sakkal Majalla" w:hAnsi="Sakkal Majalla" w:cs="Sakkal Majalla" w:eastAsia="Sakkal Majalla"/>
          <w:color w:val="auto"/>
          <w:spacing w:val="0"/>
          <w:position w:val="0"/>
          <w:sz w:val="28"/>
          <w:shd w:fill="auto" w:val="clear"/>
        </w:rPr>
        <w:t xml:space="preserve">05</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2023</w:t>
      </w:r>
      <w:r>
        <w:rPr>
          <w:rFonts w:ascii="Sakkal Majalla" w:hAnsi="Sakkal Majalla" w:cs="Sakkal Majalla" w:eastAsia="Sakkal Majalla"/>
          <w:color w:val="auto"/>
          <w:spacing w:val="0"/>
          <w:position w:val="0"/>
          <w:sz w:val="28"/>
          <w:shd w:fill="auto" w:val="clear"/>
        </w:rPr>
        <w:t xml:space="preserve"> بتاريخ </w:t>
      </w:r>
      <w:r>
        <w:rPr>
          <w:rFonts w:ascii="Sakkal Majalla" w:hAnsi="Sakkal Majalla" w:cs="Sakkal Majalla" w:eastAsia="Sakkal Majalla"/>
          <w:color w:val="auto"/>
          <w:spacing w:val="0"/>
          <w:position w:val="0"/>
          <w:sz w:val="28"/>
          <w:shd w:fill="auto" w:val="clear"/>
        </w:rPr>
        <w:t xml:space="preserve">06</w:t>
      </w:r>
      <w:r>
        <w:rPr>
          <w:rFonts w:ascii="Sakkal Majalla" w:hAnsi="Sakkal Majalla" w:cs="Sakkal Majalla" w:eastAsia="Sakkal Majalla"/>
          <w:color w:val="auto"/>
          <w:spacing w:val="0"/>
          <w:position w:val="0"/>
          <w:sz w:val="28"/>
          <w:shd w:fill="auto" w:val="clear"/>
        </w:rPr>
        <w:t xml:space="preserve"> مارس </w:t>
      </w:r>
      <w:r>
        <w:rPr>
          <w:rFonts w:ascii="Sakkal Majalla" w:hAnsi="Sakkal Majalla" w:cs="Sakkal Majalla" w:eastAsia="Sakkal Majalla"/>
          <w:color w:val="auto"/>
          <w:spacing w:val="0"/>
          <w:position w:val="0"/>
          <w:sz w:val="28"/>
          <w:shd w:fill="auto" w:val="clear"/>
        </w:rPr>
        <w:t xml:space="preserve">2023</w:t>
      </w:r>
      <w:r>
        <w:rPr>
          <w:rFonts w:ascii="Sakkal Majalla" w:hAnsi="Sakkal Majalla" w:cs="Sakkal Majalla" w:eastAsia="Sakkal Majalla"/>
          <w:color w:val="auto"/>
          <w:spacing w:val="0"/>
          <w:position w:val="0"/>
          <w:sz w:val="28"/>
          <w:shd w:fill="auto" w:val="clear"/>
        </w:rPr>
        <w:t xml:space="preserve">، يتوخى هذا البرنامج، زيادة على توفير دخل لمدة محددة، الإعداد لسوق الشغل وولوج فرص الإدماج المتاحة نتيجة الإقلاع الاقتصادي، وذلك من خلال تنظيم تكوينات إعدادية لمزاولة أنشطة ورش معين مع تعزيز القدرات والسلوكيات وتنمية روح المواطنة وثقافة العمل خلال مدة إنجاز هذا الورش</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hanging="2"/>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 المادة الثانية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هدف طلب المشاريع</w:t>
      </w:r>
    </w:p>
    <w:p>
      <w:pPr>
        <w:bidi w:val="true"/>
        <w:spacing w:before="0" w:after="160" w:line="259"/>
        <w:ind w:right="0" w:left="0" w:hanging="2"/>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يهدف طلب المشاريع إلى انتقاء 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تعاونية، تتوفر على القدرات والتجربة اللازمة لإنجاز الورش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 من طرف لجنة الانتقاء المشار إليها في المادة </w:t>
      </w:r>
      <w:r>
        <w:rPr>
          <w:rFonts w:ascii="Sakkal Majalla" w:hAnsi="Sakkal Majalla" w:cs="Sakkal Majalla" w:eastAsia="Sakkal Majalla"/>
          <w:color w:val="auto"/>
          <w:spacing w:val="0"/>
          <w:position w:val="0"/>
          <w:sz w:val="28"/>
          <w:shd w:fill="auto" w:val="clear"/>
        </w:rPr>
        <w:t xml:space="preserve">9</w:t>
      </w:r>
      <w:r>
        <w:rPr>
          <w:rFonts w:ascii="Sakkal Majalla" w:hAnsi="Sakkal Majalla" w:cs="Sakkal Majalla" w:eastAsia="Sakkal Majalla"/>
          <w:color w:val="auto"/>
          <w:spacing w:val="0"/>
          <w:position w:val="0"/>
          <w:sz w:val="28"/>
          <w:shd w:fill="auto" w:val="clear"/>
        </w:rPr>
        <w:t xml:space="preserve"> أدناه</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hanging="2"/>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ويحدد دفتر التحملات هذا شروط وكيفيات تقديم عروض المشاريع من طرف المتبارين ومسطرة تقييم العروض</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hanging="2"/>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المادة الثالثة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الأهداف المنتظرة من الورش موضوع طلب عروض المشاريع</w:t>
      </w:r>
    </w:p>
    <w:p>
      <w:pPr>
        <w:bidi w:val="true"/>
        <w:spacing w:before="0" w:after="160" w:line="259"/>
        <w:ind w:right="0" w:left="0" w:hanging="2"/>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تتجلى الأهداف المنتظرة من إنجاز الورش، موضوع طلب المشاريع، فيما يلي</w:t>
      </w:r>
      <w:r>
        <w:rPr>
          <w:rFonts w:ascii="Sakkal Majalla" w:hAnsi="Sakkal Majalla" w:cs="Sakkal Majalla" w:eastAsia="Sakkal Majalla"/>
          <w:color w:val="auto"/>
          <w:spacing w:val="0"/>
          <w:position w:val="0"/>
          <w:sz w:val="28"/>
          <w:shd w:fill="auto" w:val="clear"/>
        </w:rPr>
        <w:t xml:space="preserve">:</w:t>
      </w:r>
    </w:p>
    <w:p>
      <w:pPr>
        <w:numPr>
          <w:ilvl w:val="0"/>
          <w:numId w:val="4"/>
        </w:numPr>
        <w:bidi w:val="true"/>
        <w:spacing w:before="0" w:after="160" w:line="259"/>
        <w:ind w:right="0" w:left="565" w:hanging="207"/>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إنجاز الورش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الذي يكتسي منفعة عامة لساكنة إقليم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عمالة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w:t>
      </w:r>
    </w:p>
    <w:p>
      <w:pPr>
        <w:numPr>
          <w:ilvl w:val="0"/>
          <w:numId w:val="4"/>
        </w:numPr>
        <w:bidi w:val="true"/>
        <w:spacing w:before="0" w:after="160" w:line="259"/>
        <w:ind w:right="0" w:left="565" w:hanging="207"/>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إدماج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شخصا من بين الذين فقدوا مورد عيشهم من جراء أزمة كوفيد </w:t>
      </w:r>
      <w:r>
        <w:rPr>
          <w:rFonts w:ascii="Sakkal Majalla" w:hAnsi="Sakkal Majalla" w:cs="Sakkal Majalla" w:eastAsia="Sakkal Majalla"/>
          <w:color w:val="auto"/>
          <w:spacing w:val="0"/>
          <w:position w:val="0"/>
          <w:sz w:val="28"/>
          <w:shd w:fill="auto" w:val="clear"/>
        </w:rPr>
        <w:t xml:space="preserve">19</w:t>
      </w:r>
      <w:r>
        <w:rPr>
          <w:rFonts w:ascii="Sakkal Majalla" w:hAnsi="Sakkal Majalla" w:cs="Sakkal Majalla" w:eastAsia="Sakkal Majalla"/>
          <w:color w:val="auto"/>
          <w:spacing w:val="0"/>
          <w:position w:val="0"/>
          <w:sz w:val="28"/>
          <w:shd w:fill="auto" w:val="clear"/>
        </w:rPr>
        <w:t xml:space="preserve"> أو الذين يعانون صعوبات خاصة في الادماج؛</w:t>
      </w:r>
    </w:p>
    <w:p>
      <w:pPr>
        <w:numPr>
          <w:ilvl w:val="0"/>
          <w:numId w:val="4"/>
        </w:numPr>
        <w:bidi w:val="true"/>
        <w:spacing w:before="0" w:after="160" w:line="259"/>
        <w:ind w:right="0" w:left="565" w:hanging="207"/>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تأطير المستفيدين من الورش وتكوينهم لامتلاك كفاءات جديدة وتطوير مهارات وسلوكيات مرتبطة لا سيما بتنمية روح المواطنة وثقافة العمل بهدف إعدادهم لولوج سوق الشغل في إطار فرص للتشغيل مستقبلية</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hanging="2"/>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المادة الرابعة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موقع إنجاز الورش</w:t>
      </w:r>
    </w:p>
    <w:p>
      <w:pPr>
        <w:bidi w:val="true"/>
        <w:spacing w:before="0" w:after="160" w:line="259"/>
        <w:ind w:right="0" w:left="0" w:hanging="2"/>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سيتم إنجاز الورش موضوع دفتر التحملات هذا بجماعة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التابعة لإقليم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بجهة </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hanging="2"/>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 المادة الخامسة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مدة الورش</w:t>
      </w: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تحدد مدة إنجاز الورش في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شهرا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لا يمكن أن تتجاوز المدة </w:t>
      </w:r>
      <w:r>
        <w:rPr>
          <w:rFonts w:ascii="Sakkal Majalla" w:hAnsi="Sakkal Majalla" w:cs="Sakkal Majalla" w:eastAsia="Sakkal Majalla"/>
          <w:color w:val="auto"/>
          <w:spacing w:val="0"/>
          <w:position w:val="0"/>
          <w:sz w:val="28"/>
          <w:shd w:fill="auto" w:val="clear"/>
        </w:rPr>
        <w:t xml:space="preserve">12</w:t>
      </w:r>
      <w:r>
        <w:rPr>
          <w:rFonts w:ascii="Sakkal Majalla" w:hAnsi="Sakkal Majalla" w:cs="Sakkal Majalla" w:eastAsia="Sakkal Majalla"/>
          <w:color w:val="auto"/>
          <w:spacing w:val="0"/>
          <w:position w:val="0"/>
          <w:sz w:val="28"/>
          <w:shd w:fill="auto" w:val="clear"/>
        </w:rPr>
        <w:t xml:space="preserve"> شهرا</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المادة السادسة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تمويل الورش</w:t>
      </w:r>
    </w:p>
    <w:p>
      <w:pPr>
        <w:bidi w:val="true"/>
        <w:spacing w:before="0" w:after="160" w:line="259"/>
        <w:ind w:right="0" w:left="0" w:hanging="2"/>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يتم تمويل إنجاز الورش على النحو التالي</w:t>
      </w:r>
      <w:r>
        <w:rPr>
          <w:rFonts w:ascii="Sakkal Majalla" w:hAnsi="Sakkal Majalla" w:cs="Sakkal Majalla" w:eastAsia="Sakkal Majalla"/>
          <w:color w:val="auto"/>
          <w:spacing w:val="0"/>
          <w:position w:val="0"/>
          <w:sz w:val="28"/>
          <w:shd w:fill="auto" w:val="clear"/>
        </w:rPr>
        <w:t xml:space="preserve">:</w:t>
      </w:r>
    </w:p>
    <w:p>
      <w:pPr>
        <w:numPr>
          <w:ilvl w:val="0"/>
          <w:numId w:val="8"/>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تحمل الدولة للأجور والتغطية الاجتماعية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حصة المشغل</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والتأمين ضد حوادث الشغل؛</w:t>
      </w:r>
    </w:p>
    <w:p>
      <w:pPr>
        <w:numPr>
          <w:ilvl w:val="0"/>
          <w:numId w:val="8"/>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تحويل منحة التأطير لفائدة الجمعية</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التعاونية من طرف مجلس الإقليم</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العمالة بهدف تغطية أجور مؤطري المستفيدين من الورش وتحمل الحاجيات المحتملة من المعدات والمواد الأولية؛</w:t>
      </w:r>
    </w:p>
    <w:p>
      <w:pPr>
        <w:numPr>
          <w:ilvl w:val="0"/>
          <w:numId w:val="8"/>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وضع رهن الإشارة من طرف المديرية الإقليمية لقطاع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للتجهيزات والمعدات والمواد الأولية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التالية</w:t>
      </w:r>
      <w:r>
        <w:rPr>
          <w:rFonts w:ascii="Sakkal Majalla" w:hAnsi="Sakkal Majalla" w:cs="Sakkal Majalla" w:eastAsia="Sakkal Majalla"/>
          <w:color w:val="auto"/>
          <w:spacing w:val="0"/>
          <w:position w:val="0"/>
          <w:sz w:val="28"/>
          <w:shd w:fill="auto" w:val="clear"/>
        </w:rPr>
        <w:t xml:space="preserve">:</w:t>
      </w:r>
    </w:p>
    <w:p>
      <w:pPr>
        <w:bidi w:val="true"/>
        <w:spacing w:before="0" w:after="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w:t>
      </w:r>
    </w:p>
    <w:p>
      <w:pPr>
        <w:bidi w:val="true"/>
        <w:spacing w:before="0" w:after="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w:t>
      </w:r>
    </w:p>
    <w:p>
      <w:pPr>
        <w:bidi w:val="true"/>
        <w:spacing w:before="0" w:after="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w:t>
      </w:r>
    </w:p>
    <w:p>
      <w:pPr>
        <w:numPr>
          <w:ilvl w:val="0"/>
          <w:numId w:val="10"/>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وضع رهن الإشارة من طرف الجماعة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للتجهيزات والمعدات والمواد الأولية </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التالية</w:t>
      </w:r>
      <w:r>
        <w:rPr>
          <w:rFonts w:ascii="Sakkal Majalla" w:hAnsi="Sakkal Majalla" w:cs="Sakkal Majalla" w:eastAsia="Sakkal Majalla"/>
          <w:color w:val="auto"/>
          <w:spacing w:val="0"/>
          <w:position w:val="0"/>
          <w:sz w:val="28"/>
          <w:shd w:fill="auto" w:val="clear"/>
        </w:rPr>
        <w:t xml:space="preserve">:</w:t>
      </w:r>
    </w:p>
    <w:p>
      <w:pPr>
        <w:bidi w:val="true"/>
        <w:spacing w:before="0" w:after="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w:t>
      </w:r>
    </w:p>
    <w:p>
      <w:pPr>
        <w:bidi w:val="true"/>
        <w:spacing w:before="0" w:after="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hanging="2"/>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يتعين تعبئة باقي التجهيزات والمعدات والمواد الأولية من طرف الجمعية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firstLine="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المادة السابعة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معايير الترشيح في طلب المشاريع</w:t>
      </w: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تفتح المشاركة في طلب المشاريع هذا في وجه كل 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تعاونية</w:t>
      </w:r>
      <w:r>
        <w:rPr>
          <w:rFonts w:ascii="Sakkal Majalla" w:hAnsi="Sakkal Majalla" w:cs="Sakkal Majalla" w:eastAsia="Sakkal Majalla"/>
          <w:color w:val="auto"/>
          <w:spacing w:val="0"/>
          <w:position w:val="0"/>
          <w:sz w:val="28"/>
          <w:shd w:fill="auto" w:val="clear"/>
        </w:rPr>
        <w:t xml:space="preserve">:</w:t>
      </w:r>
    </w:p>
    <w:p>
      <w:pPr>
        <w:numPr>
          <w:ilvl w:val="0"/>
          <w:numId w:val="15"/>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تم إحداثها طبقا للتشريعات الجاري بها العمل؛</w:t>
      </w:r>
    </w:p>
    <w:p>
      <w:pPr>
        <w:numPr>
          <w:ilvl w:val="0"/>
          <w:numId w:val="15"/>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تتوفر على تجربة في المجال موضوع الورش؛</w:t>
      </w:r>
    </w:p>
    <w:p>
      <w:pPr>
        <w:numPr>
          <w:ilvl w:val="0"/>
          <w:numId w:val="15"/>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تتوفر على القدرة البشرية والمادية الضرورية لإنجاز الورش؛</w:t>
      </w:r>
    </w:p>
    <w:p>
      <w:pPr>
        <w:numPr>
          <w:ilvl w:val="0"/>
          <w:numId w:val="15"/>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محدثة سنتان على الأقل عند تاريخ طلب المشاريع</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firstLine="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المادة الثامنة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ملف الترشيح</w:t>
      </w: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يتكون ملف الترشيح من الوثائق التالية</w:t>
      </w:r>
      <w:r>
        <w:rPr>
          <w:rFonts w:ascii="Sakkal Majalla" w:hAnsi="Sakkal Majalla" w:cs="Sakkal Majalla" w:eastAsia="Sakkal Majalla"/>
          <w:color w:val="auto"/>
          <w:spacing w:val="0"/>
          <w:position w:val="0"/>
          <w:sz w:val="28"/>
          <w:shd w:fill="auto" w:val="clear"/>
        </w:rPr>
        <w:t xml:space="preserve">:</w:t>
      </w:r>
    </w:p>
    <w:p>
      <w:pPr>
        <w:numPr>
          <w:ilvl w:val="0"/>
          <w:numId w:val="17"/>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طلب المشاركة في طلب المشاريع مقدم من طرف الجمعية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w:t>
      </w:r>
    </w:p>
    <w:p>
      <w:pPr>
        <w:numPr>
          <w:ilvl w:val="0"/>
          <w:numId w:val="17"/>
        </w:numPr>
        <w:bidi w:val="true"/>
        <w:spacing w:before="0" w:after="160" w:line="259"/>
        <w:ind w:right="0" w:left="565" w:hanging="283"/>
        <w:jc w:val="left"/>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 بطاقة تقديم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w:t>
      </w:r>
      <w:r>
        <w:rPr>
          <w:rFonts w:ascii="Sakkal Majalla" w:hAnsi="Sakkal Majalla" w:cs="Sakkal Majalla" w:eastAsia="Sakkal Majalla"/>
          <w:color w:val="auto"/>
          <w:spacing w:val="0"/>
          <w:position w:val="0"/>
          <w:sz w:val="28"/>
          <w:shd w:fill="auto" w:val="clear"/>
        </w:rPr>
        <w:t xml:space="preserve">. </w:t>
      </w:r>
    </w:p>
    <w:p>
      <w:pPr>
        <w:numPr>
          <w:ilvl w:val="0"/>
          <w:numId w:val="17"/>
        </w:numPr>
        <w:bidi w:val="true"/>
        <w:spacing w:before="0" w:after="160" w:line="259"/>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ملف إداري يتضمن</w:t>
      </w:r>
      <w:r>
        <w:rPr>
          <w:rFonts w:ascii="Sakkal Majalla" w:hAnsi="Sakkal Majalla" w:cs="Sakkal Majalla" w:eastAsia="Sakkal Majalla"/>
          <w:color w:val="auto"/>
          <w:spacing w:val="0"/>
          <w:position w:val="0"/>
          <w:sz w:val="28"/>
          <w:shd w:fill="auto" w:val="clear"/>
        </w:rPr>
        <w:t xml:space="preserve">: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النظام الأساسي للجمعية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محاضر الاجتماعات المتعلقة بالجمعين العامين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02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الأخيرين للجمعية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التقريرين الأدبيين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02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الأخيرين للجمعية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التقريرين الماليين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02</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الأخيرين للجمعية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شهادة التعريف البنكي </w:t>
      </w:r>
      <w:r>
        <w:rPr>
          <w:rFonts w:ascii="Sakkal Majalla" w:hAnsi="Sakkal Majalla" w:cs="Sakkal Majalla" w:eastAsia="Sakkal Majalla"/>
          <w:color w:val="auto"/>
          <w:spacing w:val="0"/>
          <w:position w:val="0"/>
          <w:sz w:val="28"/>
          <w:shd w:fill="auto" w:val="clear"/>
        </w:rPr>
        <w:t xml:space="preserve">RIB</w:t>
      </w:r>
      <w:r>
        <w:rPr>
          <w:rFonts w:ascii="Sakkal Majalla" w:hAnsi="Sakkal Majalla" w:cs="Sakkal Majalla" w:eastAsia="Sakkal Majalla"/>
          <w:color w:val="auto"/>
          <w:spacing w:val="0"/>
          <w:position w:val="0"/>
          <w:sz w:val="28"/>
          <w:shd w:fill="auto" w:val="clear"/>
        </w:rPr>
        <w:t xml:space="preserve">   الخاص بالجمعية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لائحة أعضاء مكتب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شهادة الانخراط في الصندوق الوطني للضمان الاجتماعي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يدلى بها في حالة انتقاء التعاونية أو الجمعية</w:t>
      </w:r>
      <w:r>
        <w:rPr>
          <w:rFonts w:ascii="Sakkal Majalla" w:hAnsi="Sakkal Majalla" w:cs="Sakkal Majalla" w:eastAsia="Sakkal Majalla"/>
          <w:color w:val="auto"/>
          <w:spacing w:val="0"/>
          <w:position w:val="0"/>
          <w:sz w:val="28"/>
          <w:shd w:fill="auto" w:val="clear"/>
        </w:rPr>
        <w:t xml:space="preserve">).</w:t>
      </w:r>
    </w:p>
    <w:p>
      <w:pPr>
        <w:numPr>
          <w:ilvl w:val="0"/>
          <w:numId w:val="17"/>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ملف تقني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يتم تعبئته وفق النموذج رفقته</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يحتوي على</w:t>
      </w:r>
      <w:r>
        <w:rPr>
          <w:rFonts w:ascii="Sakkal Majalla" w:hAnsi="Sakkal Majalla" w:cs="Sakkal Majalla" w:eastAsia="Sakkal Majalla"/>
          <w:color w:val="auto"/>
          <w:spacing w:val="0"/>
          <w:position w:val="0"/>
          <w:sz w:val="28"/>
          <w:shd w:fill="auto" w:val="clear"/>
        </w:rPr>
        <w:t xml:space="preserve">: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الشواهد المتعلقة بتجربة الجمعية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في المجال موضوع الورش؛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بطاقة تتعلق بالموارد البشرية والتقنية للجمعية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w:t>
      </w:r>
    </w:p>
    <w:p>
      <w:pPr>
        <w:numPr>
          <w:ilvl w:val="0"/>
          <w:numId w:val="17"/>
        </w:numPr>
        <w:bidi w:val="true"/>
        <w:spacing w:before="0" w:after="160" w:line="276"/>
        <w:ind w:right="0" w:left="1132"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بطاقة حول الجمعية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معبأة بالمعلومات الضرورية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رفقته النموذج</w:t>
      </w:r>
      <w:r>
        <w:rPr>
          <w:rFonts w:ascii="Sakkal Majalla" w:hAnsi="Sakkal Majalla" w:cs="Sakkal Majalla" w:eastAsia="Sakkal Majalla"/>
          <w:color w:val="auto"/>
          <w:spacing w:val="0"/>
          <w:position w:val="0"/>
          <w:sz w:val="28"/>
          <w:shd w:fill="auto" w:val="clear"/>
        </w:rPr>
        <w:t xml:space="preserve">). </w:t>
      </w:r>
    </w:p>
    <w:p>
      <w:pPr>
        <w:numPr>
          <w:ilvl w:val="0"/>
          <w:numId w:val="17"/>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برنامج عمل زمني يجب أن يبرز بالتفصيل مدة كل مرحلة في إنجاز الورش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تشغيل المؤطرين</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تعبئة التجهيزات والمواد الأولية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برمجة أنشطة الورش</w:t>
      </w:r>
      <w:r>
        <w:rPr>
          <w:rFonts w:ascii="Sakkal Majalla" w:hAnsi="Sakkal Majalla" w:cs="Sakkal Majalla" w:eastAsia="Sakkal Majalla"/>
          <w:color w:val="auto"/>
          <w:spacing w:val="0"/>
          <w:position w:val="0"/>
          <w:sz w:val="28"/>
          <w:shd w:fill="auto" w:val="clear"/>
        </w:rPr>
        <w:t xml:space="preserve">...) </w:t>
      </w:r>
      <w:r>
        <w:rPr>
          <w:rFonts w:ascii="Sakkal Majalla" w:hAnsi="Sakkal Majalla" w:cs="Sakkal Majalla" w:eastAsia="Sakkal Majalla"/>
          <w:color w:val="auto"/>
          <w:spacing w:val="0"/>
          <w:position w:val="0"/>
          <w:sz w:val="28"/>
          <w:shd w:fill="auto" w:val="clear"/>
        </w:rPr>
        <w:t xml:space="preserve">كما يجب أن يحدد التواريخ المرتقبة لبدء وإنهاء الورش</w:t>
      </w:r>
      <w:r>
        <w:rPr>
          <w:rFonts w:ascii="Sakkal Majalla" w:hAnsi="Sakkal Majalla" w:cs="Sakkal Majalla" w:eastAsia="Sakkal Majalla"/>
          <w:color w:val="auto"/>
          <w:spacing w:val="0"/>
          <w:position w:val="0"/>
          <w:sz w:val="28"/>
          <w:shd w:fill="auto" w:val="clear"/>
        </w:rPr>
        <w:t xml:space="preserve">.  </w:t>
      </w:r>
    </w:p>
    <w:p>
      <w:pPr>
        <w:bidi w:val="true"/>
        <w:spacing w:before="0" w:after="160" w:line="259"/>
        <w:ind w:right="0" w:left="0" w:firstLine="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المادة التاسعة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لجنة الانتقاء</w:t>
      </w: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يتم تعيين لجنة لتقييم عروض المشاريع وانتقاء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المكلفة بإنجاز الورش من طرف مجلس الإقليم</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العمالة </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أوراش</w:t>
      </w:r>
      <w:r>
        <w:rPr>
          <w:rFonts w:ascii="Sakkal Majalla" w:hAnsi="Sakkal Majalla" w:cs="Sakkal Majalla" w:eastAsia="Sakkal Majalla"/>
          <w:color w:val="auto"/>
          <w:spacing w:val="0"/>
          <w:position w:val="0"/>
          <w:sz w:val="28"/>
          <w:shd w:fill="auto" w:val="clear"/>
        </w:rPr>
        <w:t xml:space="preserve">".</w:t>
      </w:r>
    </w:p>
    <w:p>
      <w:pPr>
        <w:bidi w:val="true"/>
        <w:spacing w:before="0" w:after="160" w:line="259"/>
        <w:ind w:right="0" w:left="0" w:firstLine="0"/>
        <w:jc w:val="both"/>
        <w:rPr>
          <w:rFonts w:ascii="Sakkal Majalla" w:hAnsi="Sakkal Majalla" w:cs="Sakkal Majalla" w:eastAsia="Sakkal Majalla"/>
          <w:b/>
          <w:color w:val="auto"/>
          <w:spacing w:val="0"/>
          <w:position w:val="0"/>
          <w:sz w:val="28"/>
          <w:shd w:fill="auto" w:val="clear"/>
        </w:rPr>
      </w:pPr>
      <w:r>
        <w:rPr>
          <w:rFonts w:ascii="Sakkal Majalla" w:hAnsi="Sakkal Majalla" w:cs="Sakkal Majalla" w:eastAsia="Sakkal Majalla"/>
          <w:b/>
          <w:color w:val="auto"/>
          <w:spacing w:val="0"/>
          <w:position w:val="0"/>
          <w:sz w:val="28"/>
          <w:shd w:fill="auto" w:val="clear"/>
        </w:rPr>
        <w:t xml:space="preserve"> المادة العاشرة</w:t>
      </w:r>
      <w:r>
        <w:rPr>
          <w:rFonts w:ascii="Sakkal Majalla" w:hAnsi="Sakkal Majalla" w:cs="Sakkal Majalla" w:eastAsia="Sakkal Majalla"/>
          <w:b/>
          <w:color w:val="auto"/>
          <w:spacing w:val="0"/>
          <w:position w:val="0"/>
          <w:sz w:val="28"/>
          <w:shd w:fill="auto" w:val="clear"/>
        </w:rPr>
        <w:t xml:space="preserve">: </w:t>
      </w:r>
      <w:r>
        <w:rPr>
          <w:rFonts w:ascii="Sakkal Majalla" w:hAnsi="Sakkal Majalla" w:cs="Sakkal Majalla" w:eastAsia="Sakkal Majalla"/>
          <w:b/>
          <w:color w:val="auto"/>
          <w:spacing w:val="0"/>
          <w:position w:val="0"/>
          <w:sz w:val="28"/>
          <w:shd w:fill="auto" w:val="clear"/>
        </w:rPr>
        <w:t xml:space="preserve">معايير تقديم عروض المشاريع بهدف انتقاء الجمعية</w:t>
      </w:r>
      <w:r>
        <w:rPr>
          <w:rFonts w:ascii="Sakkal Majalla" w:hAnsi="Sakkal Majalla" w:cs="Sakkal Majalla" w:eastAsia="Sakkal Majalla"/>
          <w:b/>
          <w:color w:val="auto"/>
          <w:spacing w:val="0"/>
          <w:position w:val="0"/>
          <w:sz w:val="28"/>
          <w:shd w:fill="auto" w:val="clear"/>
        </w:rPr>
        <w:t xml:space="preserve">/</w:t>
      </w:r>
      <w:r>
        <w:rPr>
          <w:rFonts w:ascii="Sakkal Majalla" w:hAnsi="Sakkal Majalla" w:cs="Sakkal Majalla" w:eastAsia="Sakkal Majalla"/>
          <w:b/>
          <w:color w:val="auto"/>
          <w:spacing w:val="0"/>
          <w:position w:val="0"/>
          <w:sz w:val="28"/>
          <w:shd w:fill="auto" w:val="clear"/>
        </w:rPr>
        <w:t xml:space="preserve">التعاونية</w:t>
      </w: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معايير التقديم المعتمدة في انتقاء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محددة كالتالي</w:t>
      </w:r>
      <w:r>
        <w:rPr>
          <w:rFonts w:ascii="Sakkal Majalla" w:hAnsi="Sakkal Majalla" w:cs="Sakkal Majalla" w:eastAsia="Sakkal Majalla"/>
          <w:color w:val="auto"/>
          <w:spacing w:val="0"/>
          <w:position w:val="0"/>
          <w:sz w:val="28"/>
          <w:shd w:fill="auto" w:val="clear"/>
        </w:rPr>
        <w:t xml:space="preserve">:</w:t>
      </w:r>
    </w:p>
    <w:p>
      <w:pPr>
        <w:numPr>
          <w:ilvl w:val="0"/>
          <w:numId w:val="25"/>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فهم دقيق لانتظارات اتجاه الورش؛</w:t>
      </w:r>
    </w:p>
    <w:p>
      <w:pPr>
        <w:numPr>
          <w:ilvl w:val="0"/>
          <w:numId w:val="25"/>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القدرة التقنية للجمعية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للتعاونية لإنجاز الورش؛</w:t>
      </w:r>
    </w:p>
    <w:p>
      <w:pPr>
        <w:numPr>
          <w:ilvl w:val="0"/>
          <w:numId w:val="25"/>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تجربة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في إنجاز أوراش مماثلة؛</w:t>
      </w:r>
    </w:p>
    <w:p>
      <w:pPr>
        <w:numPr>
          <w:ilvl w:val="0"/>
          <w:numId w:val="25"/>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المنهجية المقترحة من طرف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لإنجاز الورش؛</w:t>
      </w:r>
    </w:p>
    <w:p>
      <w:pPr>
        <w:numPr>
          <w:ilvl w:val="0"/>
          <w:numId w:val="25"/>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مقترح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لتوظيف منحة التأطير الممنوحة من طرف مجلس الإقليم</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العمالة؛</w:t>
      </w:r>
    </w:p>
    <w:p>
      <w:pPr>
        <w:numPr>
          <w:ilvl w:val="0"/>
          <w:numId w:val="25"/>
        </w:numPr>
        <w:bidi w:val="true"/>
        <w:spacing w:before="0" w:after="160" w:line="276"/>
        <w:ind w:right="0" w:left="565" w:hanging="283"/>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ملاءمة برنامج العمل الزمني الذي تقترحه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مع جدول إنجاز الورش</w:t>
      </w:r>
      <w:r>
        <w:rPr>
          <w:rFonts w:ascii="Sakkal Majalla" w:hAnsi="Sakkal Majalla" w:cs="Sakkal Majalla" w:eastAsia="Sakkal Majalla"/>
          <w:color w:val="auto"/>
          <w:spacing w:val="0"/>
          <w:position w:val="0"/>
          <w:sz w:val="28"/>
          <w:shd w:fill="auto" w:val="clear"/>
        </w:rPr>
        <w:t xml:space="preserve">.</w:t>
      </w:r>
    </w:p>
    <w:p>
      <w:pPr>
        <w:bidi w:val="true"/>
        <w:spacing w:before="0" w:after="160" w:line="276"/>
        <w:ind w:right="0" w:left="0" w:firstLine="0"/>
        <w:jc w:val="both"/>
        <w:rPr>
          <w:rFonts w:ascii="Sakkal Majalla" w:hAnsi="Sakkal Majalla" w:cs="Sakkal Majalla" w:eastAsia="Sakkal Majalla"/>
          <w:color w:val="auto"/>
          <w:spacing w:val="0"/>
          <w:position w:val="0"/>
          <w:sz w:val="28"/>
          <w:shd w:fill="auto" w:val="clear"/>
        </w:rPr>
      </w:pPr>
      <w:r>
        <w:rPr>
          <w:rFonts w:ascii="Sakkal Majalla" w:hAnsi="Sakkal Majalla" w:cs="Sakkal Majalla" w:eastAsia="Sakkal Majalla"/>
          <w:color w:val="auto"/>
          <w:spacing w:val="0"/>
          <w:position w:val="0"/>
          <w:sz w:val="28"/>
          <w:shd w:fill="auto" w:val="clear"/>
        </w:rPr>
        <w:t xml:space="preserve">يتم تقييم عروض المشاريع لانتقاء الجمعية</w:t>
      </w:r>
      <w:r>
        <w:rPr>
          <w:rFonts w:ascii="Sakkal Majalla" w:hAnsi="Sakkal Majalla" w:cs="Sakkal Majalla" w:eastAsia="Sakkal Majalla"/>
          <w:color w:val="auto"/>
          <w:spacing w:val="0"/>
          <w:position w:val="0"/>
          <w:sz w:val="28"/>
          <w:shd w:fill="auto" w:val="clear"/>
        </w:rPr>
        <w:t xml:space="preserve">/</w:t>
      </w:r>
      <w:r>
        <w:rPr>
          <w:rFonts w:ascii="Sakkal Majalla" w:hAnsi="Sakkal Majalla" w:cs="Sakkal Majalla" w:eastAsia="Sakkal Majalla"/>
          <w:color w:val="auto"/>
          <w:spacing w:val="0"/>
          <w:position w:val="0"/>
          <w:sz w:val="28"/>
          <w:shd w:fill="auto" w:val="clear"/>
        </w:rPr>
        <w:t xml:space="preserve">التعاونية المكلفة بإنجاز الورش على أساس المعايير المحددة أعلاه وطبقا لمسطرة تنقيط يتم إعدادها لهذا الغرض</w:t>
      </w:r>
      <w:r>
        <w:rPr>
          <w:rFonts w:ascii="Sakkal Majalla" w:hAnsi="Sakkal Majalla" w:cs="Sakkal Majalla" w:eastAsia="Sakkal Majalla"/>
          <w:color w:val="auto"/>
          <w:spacing w:val="0"/>
          <w:position w:val="0"/>
          <w:sz w:val="28"/>
          <w:shd w:fill="auto" w:val="clear"/>
        </w:rPr>
        <w:t xml:space="preserve">. </w:t>
      </w: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160" w:line="259"/>
        <w:ind w:right="0" w:left="0" w:firstLine="0"/>
        <w:jc w:val="both"/>
        <w:rPr>
          <w:rFonts w:ascii="Sakkal Majalla" w:hAnsi="Sakkal Majalla" w:cs="Sakkal Majalla" w:eastAsia="Sakkal Majalla"/>
          <w:b/>
          <w:color w:val="auto"/>
          <w:spacing w:val="0"/>
          <w:position w:val="0"/>
          <w:sz w:val="28"/>
          <w:shd w:fill="auto" w:val="clear"/>
        </w:rPr>
      </w:pPr>
    </w:p>
    <w:p>
      <w:pPr>
        <w:bidi w:val="true"/>
        <w:spacing w:before="0" w:after="160" w:line="276"/>
        <w:ind w:right="0" w:left="0" w:firstLine="0"/>
        <w:jc w:val="both"/>
        <w:rPr>
          <w:rFonts w:ascii="Sakkal Majalla" w:hAnsi="Sakkal Majalla" w:cs="Sakkal Majalla" w:eastAsia="Sakkal Majalla"/>
          <w:color w:val="auto"/>
          <w:spacing w:val="0"/>
          <w:position w:val="0"/>
          <w:sz w:val="28"/>
          <w:shd w:fill="auto" w:val="clear"/>
        </w:rPr>
      </w:pPr>
    </w:p>
    <w:p>
      <w:pPr>
        <w:bidi w:val="true"/>
        <w:spacing w:before="0" w:after="160" w:line="259"/>
        <w:ind w:right="0" w:left="0" w:firstLine="0"/>
        <w:jc w:val="both"/>
        <w:rPr>
          <w:rFonts w:ascii="Sakkal Majalla" w:hAnsi="Sakkal Majalla" w:cs="Sakkal Majalla" w:eastAsia="Sakkal Majalla"/>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8">
    <w:abstractNumId w:val="24"/>
  </w:num>
  <w:num w:numId="10">
    <w:abstractNumId w:val="18"/>
  </w:num>
  <w:num w:numId="15">
    <w:abstractNumId w:val="12"/>
  </w:num>
  <w:num w:numId="17">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